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2" w:rsidRDefault="004D03D2" w:rsidP="007831E3">
      <w:pPr>
        <w:pStyle w:val="Corpodetexto3"/>
        <w:rPr>
          <w:sz w:val="24"/>
          <w:szCs w:val="24"/>
          <w:u w:val="single"/>
        </w:rPr>
      </w:pPr>
    </w:p>
    <w:p w:rsidR="007831E3" w:rsidRPr="00A81019" w:rsidRDefault="007831E3" w:rsidP="007831E3">
      <w:pPr>
        <w:pStyle w:val="Corpodetexto3"/>
        <w:rPr>
          <w:sz w:val="24"/>
          <w:szCs w:val="24"/>
          <w:u w:val="single"/>
        </w:rPr>
      </w:pPr>
      <w:r w:rsidRPr="00A81019">
        <w:rPr>
          <w:sz w:val="24"/>
          <w:szCs w:val="24"/>
          <w:u w:val="single"/>
        </w:rPr>
        <w:t xml:space="preserve">DECRETO Nº </w:t>
      </w:r>
      <w:r w:rsidR="004D03D2">
        <w:rPr>
          <w:sz w:val="24"/>
          <w:szCs w:val="24"/>
          <w:u w:val="single"/>
        </w:rPr>
        <w:t>428</w:t>
      </w:r>
      <w:r w:rsidRPr="00A81019">
        <w:rPr>
          <w:sz w:val="24"/>
          <w:szCs w:val="24"/>
          <w:u w:val="single"/>
        </w:rPr>
        <w:t xml:space="preserve">, DE </w:t>
      </w:r>
      <w:r w:rsidR="004D03D2">
        <w:rPr>
          <w:sz w:val="24"/>
          <w:szCs w:val="24"/>
          <w:u w:val="single"/>
        </w:rPr>
        <w:t>19</w:t>
      </w:r>
      <w:r w:rsidRPr="00A81019">
        <w:rPr>
          <w:sz w:val="24"/>
          <w:szCs w:val="24"/>
          <w:u w:val="single"/>
        </w:rPr>
        <w:t xml:space="preserve"> DE DEZEMBRO DE 2013.</w:t>
      </w:r>
    </w:p>
    <w:p w:rsidR="007831E3" w:rsidRPr="00A81019" w:rsidRDefault="007831E3" w:rsidP="007831E3">
      <w:pPr>
        <w:ind w:left="3828"/>
        <w:jc w:val="both"/>
        <w:rPr>
          <w:sz w:val="24"/>
          <w:szCs w:val="24"/>
        </w:rPr>
      </w:pPr>
    </w:p>
    <w:p w:rsidR="007831E3" w:rsidRPr="00A81019" w:rsidRDefault="007831E3" w:rsidP="007831E3">
      <w:pPr>
        <w:ind w:left="4140"/>
        <w:jc w:val="both"/>
        <w:rPr>
          <w:b/>
          <w:sz w:val="24"/>
          <w:szCs w:val="24"/>
        </w:rPr>
      </w:pPr>
    </w:p>
    <w:p w:rsidR="007831E3" w:rsidRPr="004D03D2" w:rsidRDefault="007831E3" w:rsidP="004D03D2">
      <w:pPr>
        <w:ind w:left="4820"/>
        <w:jc w:val="both"/>
        <w:rPr>
          <w:rStyle w:val="Forte"/>
          <w:b w:val="0"/>
        </w:rPr>
      </w:pPr>
      <w:r w:rsidRPr="004D03D2">
        <w:rPr>
          <w:rStyle w:val="Forte"/>
          <w:b w:val="0"/>
        </w:rPr>
        <w:t xml:space="preserve">NOTIFICA DO LANÇAMENTO DA TAXA DE FISCALIZAÇÃO DE LOCALIZAÇÃO, DE INSTALAÇÃO E DE FUNCIONAMENTO, TAXA DE FISCALIZAÇÃO SANITÁRIA E HORÁRIO ESPECIAL, TAXA DE FISCALIZAÇÃO DE OBRA PARTICULAR E DE PARCELAMENTO DO SOLO PARA O EXERCÍCIO DE 2014, E DÁ OUTRAS PROVIDÊNCIAS. </w:t>
      </w:r>
    </w:p>
    <w:p w:rsidR="007831E3" w:rsidRPr="00A81019" w:rsidRDefault="007831E3" w:rsidP="007831E3">
      <w:pPr>
        <w:ind w:left="4080"/>
        <w:jc w:val="both"/>
        <w:rPr>
          <w:b/>
          <w:sz w:val="24"/>
          <w:szCs w:val="24"/>
        </w:rPr>
      </w:pPr>
    </w:p>
    <w:p w:rsidR="007831E3" w:rsidRPr="00A81019" w:rsidRDefault="007831E3" w:rsidP="007831E3">
      <w:pPr>
        <w:ind w:left="4080"/>
        <w:jc w:val="both"/>
        <w:rPr>
          <w:b/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O</w:t>
      </w:r>
      <w:r w:rsidRPr="00A81019">
        <w:rPr>
          <w:b/>
          <w:bCs/>
          <w:sz w:val="24"/>
          <w:szCs w:val="24"/>
        </w:rPr>
        <w:t xml:space="preserve"> PREFEITO MUNICIPAL DE ANASTÁCIO</w:t>
      </w:r>
      <w:r w:rsidRPr="00A81019">
        <w:rPr>
          <w:sz w:val="24"/>
          <w:szCs w:val="24"/>
        </w:rPr>
        <w:t>, Estado de Mato Grosso do Sul, no uso das atribuições que lhe confere o inciso IV, do artigo 47, da Lei Orgânica Municipal, com fulcro na Lei Complementar n</w:t>
      </w:r>
      <w:r>
        <w:rPr>
          <w:sz w:val="24"/>
          <w:szCs w:val="24"/>
        </w:rPr>
        <w:t>° 018 de 29 de dezembro de 2006;</w:t>
      </w:r>
    </w:p>
    <w:p w:rsidR="007831E3" w:rsidRPr="00A81019" w:rsidRDefault="007831E3" w:rsidP="007831E3">
      <w:pPr>
        <w:autoSpaceDE w:val="0"/>
        <w:autoSpaceDN w:val="0"/>
        <w:adjustRightInd w:val="0"/>
        <w:ind w:firstLine="1440"/>
        <w:jc w:val="both"/>
        <w:rPr>
          <w:color w:val="000000"/>
          <w:sz w:val="24"/>
          <w:szCs w:val="24"/>
        </w:rPr>
      </w:pPr>
    </w:p>
    <w:p w:rsidR="007831E3" w:rsidRPr="00A81019" w:rsidRDefault="007831E3" w:rsidP="007831E3">
      <w:pPr>
        <w:jc w:val="both"/>
        <w:rPr>
          <w:bCs/>
          <w:iCs/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b/>
          <w:sz w:val="24"/>
          <w:szCs w:val="24"/>
        </w:rPr>
      </w:pPr>
      <w:r w:rsidRPr="00A81019">
        <w:rPr>
          <w:b/>
          <w:sz w:val="24"/>
          <w:szCs w:val="24"/>
        </w:rPr>
        <w:t>DECRETA:</w:t>
      </w:r>
    </w:p>
    <w:p w:rsidR="007831E3" w:rsidRDefault="007831E3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4D03D2" w:rsidRPr="004D03D2" w:rsidRDefault="004D03D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Pr="004D03D2" w:rsidRDefault="007831E3" w:rsidP="00C242A2">
      <w:pPr>
        <w:ind w:firstLine="1418"/>
        <w:jc w:val="both"/>
        <w:rPr>
          <w:rStyle w:val="Forte"/>
          <w:b w:val="0"/>
          <w:sz w:val="24"/>
          <w:szCs w:val="24"/>
        </w:rPr>
      </w:pPr>
      <w:r w:rsidRPr="004D03D2">
        <w:rPr>
          <w:rStyle w:val="Forte"/>
          <w:b w:val="0"/>
          <w:sz w:val="24"/>
          <w:szCs w:val="24"/>
        </w:rPr>
        <w:t>Art. 1º Ficam notificados do lançamento da Taxa de Fiscalização de Localização, de Instalação e de Funcionamento, Taxa de Fiscalização Sanitária e Horário Especial, para o exercício de 2014,</w:t>
      </w:r>
      <w:r w:rsidR="00C242A2" w:rsidRPr="00C242A2">
        <w:rPr>
          <w:rStyle w:val="Forte"/>
          <w:b w:val="0"/>
          <w:sz w:val="24"/>
          <w:szCs w:val="24"/>
        </w:rPr>
        <w:t xml:space="preserve"> </w:t>
      </w:r>
      <w:r w:rsidR="00C242A2" w:rsidRPr="004D03D2">
        <w:rPr>
          <w:rStyle w:val="Forte"/>
          <w:b w:val="0"/>
          <w:sz w:val="24"/>
          <w:szCs w:val="24"/>
        </w:rPr>
        <w:t>observado o disposto neste Decreto e no Código Tributário e demais legislações pertinentes</w:t>
      </w:r>
      <w:r w:rsidRPr="004D03D2">
        <w:rPr>
          <w:rStyle w:val="Forte"/>
          <w:b w:val="0"/>
          <w:sz w:val="24"/>
          <w:szCs w:val="24"/>
        </w:rPr>
        <w:t xml:space="preserve"> os estabelecimentos</w:t>
      </w:r>
      <w:r w:rsidR="00C242A2" w:rsidRPr="00C242A2">
        <w:rPr>
          <w:rStyle w:val="Forte"/>
          <w:b w:val="0"/>
          <w:sz w:val="24"/>
          <w:szCs w:val="24"/>
        </w:rPr>
        <w:t xml:space="preserve"> </w:t>
      </w:r>
      <w:r w:rsidR="00C242A2" w:rsidRPr="004D03D2">
        <w:rPr>
          <w:rStyle w:val="Forte"/>
          <w:b w:val="0"/>
          <w:sz w:val="24"/>
          <w:szCs w:val="24"/>
        </w:rPr>
        <w:t>que pertençam a qualquer pessoa física ou jurídica, inclusive as que gozam de imunidade ou isenção tributária,</w:t>
      </w:r>
      <w:r w:rsidR="00C242A2">
        <w:rPr>
          <w:rStyle w:val="Forte"/>
          <w:b w:val="0"/>
          <w:sz w:val="24"/>
          <w:szCs w:val="24"/>
        </w:rPr>
        <w:t xml:space="preserve"> e</w:t>
      </w:r>
      <w:r w:rsidR="00C242A2" w:rsidRPr="004D03D2">
        <w:rPr>
          <w:rStyle w:val="Forte"/>
          <w:b w:val="0"/>
          <w:sz w:val="24"/>
          <w:szCs w:val="24"/>
        </w:rPr>
        <w:t xml:space="preserve"> estão sujeitas a licenciamento prévio do município</w:t>
      </w:r>
      <w:r w:rsidR="00291F42">
        <w:rPr>
          <w:rStyle w:val="Forte"/>
          <w:b w:val="0"/>
          <w:sz w:val="24"/>
          <w:szCs w:val="24"/>
        </w:rPr>
        <w:t>, sendo</w:t>
      </w:r>
      <w:r w:rsidR="00C242A2">
        <w:rPr>
          <w:rStyle w:val="Forte"/>
          <w:b w:val="0"/>
          <w:sz w:val="24"/>
          <w:szCs w:val="24"/>
        </w:rPr>
        <w:t>: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I -</w:t>
      </w:r>
      <w:r w:rsidR="007831E3" w:rsidRPr="004D03D2">
        <w:rPr>
          <w:rStyle w:val="Forte"/>
          <w:b w:val="0"/>
          <w:sz w:val="24"/>
          <w:szCs w:val="24"/>
        </w:rPr>
        <w:t xml:space="preserve"> agrícolas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II </w:t>
      </w:r>
      <w:r w:rsidR="00291F42">
        <w:rPr>
          <w:rStyle w:val="Forte"/>
          <w:b w:val="0"/>
          <w:sz w:val="24"/>
          <w:szCs w:val="24"/>
        </w:rPr>
        <w:t>–</w:t>
      </w:r>
      <w:r>
        <w:rPr>
          <w:rStyle w:val="Forte"/>
          <w:b w:val="0"/>
          <w:sz w:val="24"/>
          <w:szCs w:val="24"/>
        </w:rPr>
        <w:t xml:space="preserve"> </w:t>
      </w:r>
      <w:r w:rsidR="007831E3" w:rsidRPr="004D03D2">
        <w:rPr>
          <w:rStyle w:val="Forte"/>
          <w:b w:val="0"/>
          <w:sz w:val="24"/>
          <w:szCs w:val="24"/>
        </w:rPr>
        <w:t>pecuários</w:t>
      </w:r>
      <w:r w:rsidR="00291F42"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291F4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III – </w:t>
      </w:r>
      <w:r w:rsidR="007831E3" w:rsidRPr="004D03D2">
        <w:rPr>
          <w:rStyle w:val="Forte"/>
          <w:b w:val="0"/>
          <w:sz w:val="24"/>
          <w:szCs w:val="24"/>
        </w:rPr>
        <w:t>extrativistas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291F4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IV – </w:t>
      </w:r>
      <w:r w:rsidR="007831E3" w:rsidRPr="004D03D2">
        <w:rPr>
          <w:rStyle w:val="Forte"/>
          <w:b w:val="0"/>
          <w:sz w:val="24"/>
          <w:szCs w:val="24"/>
        </w:rPr>
        <w:t>comerciais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V – </w:t>
      </w:r>
      <w:r w:rsidR="007831E3" w:rsidRPr="004D03D2">
        <w:rPr>
          <w:rStyle w:val="Forte"/>
          <w:b w:val="0"/>
          <w:sz w:val="24"/>
          <w:szCs w:val="24"/>
        </w:rPr>
        <w:t>industriais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VI - </w:t>
      </w:r>
      <w:r w:rsidR="007831E3" w:rsidRPr="004D03D2">
        <w:rPr>
          <w:rStyle w:val="Forte"/>
          <w:b w:val="0"/>
          <w:sz w:val="24"/>
          <w:szCs w:val="24"/>
        </w:rPr>
        <w:t>energia elétrica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>VII - saneamento básico;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VIII </w:t>
      </w:r>
      <w:r w:rsidR="00702884">
        <w:rPr>
          <w:rStyle w:val="Forte"/>
          <w:b w:val="0"/>
          <w:sz w:val="24"/>
          <w:szCs w:val="24"/>
        </w:rPr>
        <w:t>-</w:t>
      </w:r>
      <w:r>
        <w:rPr>
          <w:rStyle w:val="Forte"/>
          <w:b w:val="0"/>
          <w:sz w:val="24"/>
          <w:szCs w:val="24"/>
        </w:rPr>
        <w:t xml:space="preserve"> </w:t>
      </w:r>
      <w:r w:rsidR="007831E3" w:rsidRPr="004D03D2">
        <w:rPr>
          <w:rStyle w:val="Forte"/>
          <w:b w:val="0"/>
          <w:sz w:val="24"/>
          <w:szCs w:val="24"/>
        </w:rPr>
        <w:t>telefonias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IX - </w:t>
      </w:r>
      <w:r w:rsidR="007831E3" w:rsidRPr="004D03D2">
        <w:rPr>
          <w:rStyle w:val="Forte"/>
          <w:b w:val="0"/>
          <w:sz w:val="24"/>
          <w:szCs w:val="24"/>
        </w:rPr>
        <w:t>distribuidoras de gás industrial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X - </w:t>
      </w:r>
      <w:r w:rsidR="007831E3" w:rsidRPr="004D03D2">
        <w:rPr>
          <w:rStyle w:val="Forte"/>
          <w:b w:val="0"/>
          <w:sz w:val="24"/>
          <w:szCs w:val="24"/>
        </w:rPr>
        <w:t>prestadores de serviços de qualque</w:t>
      </w:r>
      <w:r>
        <w:rPr>
          <w:rStyle w:val="Forte"/>
          <w:b w:val="0"/>
          <w:sz w:val="24"/>
          <w:szCs w:val="24"/>
        </w:rPr>
        <w:t>r natureza;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XI </w:t>
      </w:r>
      <w:r w:rsidR="00702884">
        <w:rPr>
          <w:rStyle w:val="Forte"/>
          <w:b w:val="0"/>
          <w:sz w:val="24"/>
          <w:szCs w:val="24"/>
        </w:rPr>
        <w:t>-</w:t>
      </w:r>
      <w:r>
        <w:rPr>
          <w:rStyle w:val="Forte"/>
          <w:b w:val="0"/>
          <w:sz w:val="24"/>
          <w:szCs w:val="24"/>
        </w:rPr>
        <w:t xml:space="preserve"> </w:t>
      </w:r>
      <w:r w:rsidR="007831E3" w:rsidRPr="004D03D2">
        <w:rPr>
          <w:rStyle w:val="Forte"/>
          <w:b w:val="0"/>
          <w:sz w:val="24"/>
          <w:szCs w:val="24"/>
        </w:rPr>
        <w:t>lazer</w:t>
      </w:r>
      <w:r>
        <w:rPr>
          <w:rStyle w:val="Forte"/>
          <w:b w:val="0"/>
          <w:sz w:val="24"/>
          <w:szCs w:val="24"/>
        </w:rPr>
        <w:t>;</w:t>
      </w:r>
      <w:r w:rsidR="007831E3" w:rsidRPr="004D03D2">
        <w:rPr>
          <w:rStyle w:val="Forte"/>
          <w:b w:val="0"/>
          <w:sz w:val="24"/>
          <w:szCs w:val="24"/>
        </w:rPr>
        <w:t xml:space="preserve">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lastRenderedPageBreak/>
        <w:t xml:space="preserve">XII - </w:t>
      </w:r>
      <w:r w:rsidR="007831E3" w:rsidRPr="004D03D2">
        <w:rPr>
          <w:rStyle w:val="Forte"/>
          <w:b w:val="0"/>
          <w:sz w:val="24"/>
          <w:szCs w:val="24"/>
        </w:rPr>
        <w:t xml:space="preserve">culturais,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XIII - </w:t>
      </w:r>
      <w:r w:rsidR="007831E3" w:rsidRPr="004D03D2">
        <w:rPr>
          <w:rStyle w:val="Forte"/>
          <w:b w:val="0"/>
          <w:sz w:val="24"/>
          <w:szCs w:val="24"/>
        </w:rPr>
        <w:t xml:space="preserve">esportivos,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XIV - </w:t>
      </w:r>
      <w:r w:rsidR="007831E3" w:rsidRPr="004D03D2">
        <w:rPr>
          <w:rStyle w:val="Forte"/>
          <w:b w:val="0"/>
          <w:sz w:val="24"/>
          <w:szCs w:val="24"/>
        </w:rPr>
        <w:t>profissionais,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XV - </w:t>
      </w:r>
      <w:r w:rsidR="007831E3" w:rsidRPr="004D03D2">
        <w:rPr>
          <w:rStyle w:val="Forte"/>
          <w:b w:val="0"/>
          <w:sz w:val="24"/>
          <w:szCs w:val="24"/>
        </w:rPr>
        <w:t xml:space="preserve">sociedades,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XVI - </w:t>
      </w:r>
      <w:r w:rsidR="007831E3" w:rsidRPr="004D03D2">
        <w:rPr>
          <w:rStyle w:val="Forte"/>
          <w:b w:val="0"/>
          <w:sz w:val="24"/>
          <w:szCs w:val="24"/>
        </w:rPr>
        <w:t xml:space="preserve">associações, </w:t>
      </w:r>
    </w:p>
    <w:p w:rsidR="00C242A2" w:rsidRDefault="00C242A2" w:rsidP="004D03D2">
      <w:pPr>
        <w:ind w:firstLine="1418"/>
        <w:jc w:val="both"/>
        <w:rPr>
          <w:rStyle w:val="Forte"/>
          <w:b w:val="0"/>
          <w:sz w:val="24"/>
          <w:szCs w:val="24"/>
        </w:rPr>
      </w:pPr>
    </w:p>
    <w:p w:rsidR="00C242A2" w:rsidRDefault="00291F42" w:rsidP="004D03D2">
      <w:pPr>
        <w:ind w:firstLine="1418"/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XVII - </w:t>
      </w:r>
      <w:r w:rsidR="007831E3" w:rsidRPr="004D03D2">
        <w:rPr>
          <w:rStyle w:val="Forte"/>
          <w:b w:val="0"/>
          <w:sz w:val="24"/>
          <w:szCs w:val="24"/>
        </w:rPr>
        <w:t>instituições de qualquer natureza</w:t>
      </w:r>
      <w:r w:rsidR="00C242A2">
        <w:rPr>
          <w:rStyle w:val="Forte"/>
          <w:b w:val="0"/>
          <w:sz w:val="24"/>
          <w:szCs w:val="24"/>
        </w:rPr>
        <w:t>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4D03D2">
        <w:rPr>
          <w:rStyle w:val="Forte"/>
          <w:b w:val="0"/>
          <w:sz w:val="24"/>
          <w:szCs w:val="24"/>
        </w:rPr>
        <w:t xml:space="preserve"> 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Parágrafo único. O disposto neste Decreto aplica-se também ao exercício regular de atividades no interior de residências e em locais ocupados por estabelecimentos já licenciados, que pretendam exercer atividade diversa, assim como ao exercício transitório ou temporário de atividades.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EF537E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A81019"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Pr="00EF537E">
        <w:rPr>
          <w:sz w:val="24"/>
          <w:szCs w:val="24"/>
        </w:rPr>
        <w:t>Os Alvarás ser</w:t>
      </w:r>
      <w:r>
        <w:rPr>
          <w:sz w:val="24"/>
          <w:szCs w:val="24"/>
        </w:rPr>
        <w:t>ão expedidos após o deferimento</w:t>
      </w:r>
      <w:r w:rsidRPr="00EF537E">
        <w:rPr>
          <w:sz w:val="24"/>
          <w:szCs w:val="24"/>
        </w:rPr>
        <w:t xml:space="preserve"> e o pagamento das Taxas, quando for devida na forma</w:t>
      </w:r>
      <w:r>
        <w:rPr>
          <w:sz w:val="24"/>
          <w:szCs w:val="24"/>
        </w:rPr>
        <w:t xml:space="preserve"> do Código Tributário Municipal e condições: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§ 1º As guias de recolhimento das taxas das empresas que já possuem licença de exercícios anteriores serão emitidas pelo </w:t>
      </w:r>
      <w:r>
        <w:rPr>
          <w:sz w:val="24"/>
          <w:szCs w:val="24"/>
        </w:rPr>
        <w:t>Setor Tributário</w:t>
      </w:r>
      <w:r w:rsidRPr="00A81019">
        <w:rPr>
          <w:sz w:val="24"/>
          <w:szCs w:val="24"/>
        </w:rPr>
        <w:t xml:space="preserve"> e enviadas</w:t>
      </w:r>
      <w:r>
        <w:rPr>
          <w:sz w:val="24"/>
          <w:szCs w:val="24"/>
        </w:rPr>
        <w:t xml:space="preserve"> em seus respectivos endereços, p</w:t>
      </w:r>
      <w:r w:rsidRPr="00A81019">
        <w:rPr>
          <w:sz w:val="24"/>
          <w:szCs w:val="24"/>
        </w:rPr>
        <w:t xml:space="preserve">oderão ainda, ser emitidas através do endereço eletrônico do município </w:t>
      </w:r>
      <w:hyperlink r:id="rId6" w:history="1">
        <w:r w:rsidRPr="00A81019">
          <w:rPr>
            <w:rStyle w:val="Hyperlink"/>
            <w:sz w:val="24"/>
            <w:szCs w:val="24"/>
          </w:rPr>
          <w:t>http://www.</w:t>
        </w:r>
        <w:r>
          <w:rPr>
            <w:rStyle w:val="Hyperlink"/>
            <w:sz w:val="24"/>
            <w:szCs w:val="24"/>
          </w:rPr>
          <w:t>anastacio</w:t>
        </w:r>
        <w:r w:rsidRPr="00A81019">
          <w:rPr>
            <w:rStyle w:val="Hyperlink"/>
            <w:sz w:val="24"/>
            <w:szCs w:val="24"/>
          </w:rPr>
          <w:t>.ms.gov.br/</w:t>
        </w:r>
      </w:hyperlink>
      <w:r w:rsidRPr="00A81019">
        <w:rPr>
          <w:sz w:val="24"/>
          <w:szCs w:val="24"/>
        </w:rPr>
        <w:t xml:space="preserve">, no portal do ISS serviços on-line. 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§ 2º Em caso de Alvará de Licença para atividades eventuais com utilização de área pública, será devida também a Taxa de Licença para Ocupação do Solo nas Vias e Logradouros Públicos, observado as disposições do CTM.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A81019">
        <w:rPr>
          <w:sz w:val="24"/>
          <w:szCs w:val="24"/>
        </w:rPr>
        <w:t>º Os Alvarás conterão, entre outros, os seguintes elementos característicos:</w:t>
      </w:r>
    </w:p>
    <w:p w:rsidR="007831E3" w:rsidRPr="00A81019" w:rsidRDefault="007831E3" w:rsidP="004D03D2">
      <w:pPr>
        <w:pStyle w:val="PargrafodaLista"/>
        <w:ind w:left="0" w:firstLine="1418"/>
        <w:jc w:val="both"/>
        <w:rPr>
          <w:rFonts w:eastAsia="Times New Roman"/>
          <w:sz w:val="24"/>
          <w:szCs w:val="24"/>
        </w:rPr>
      </w:pPr>
    </w:p>
    <w:p w:rsidR="007831E3" w:rsidRPr="00A81019" w:rsidRDefault="007831E3" w:rsidP="004D03D2">
      <w:pPr>
        <w:pStyle w:val="PargrafodaLista"/>
        <w:ind w:left="0"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I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-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nome da pessoa física ou jurídica licenciada;</w:t>
      </w:r>
    </w:p>
    <w:p w:rsidR="007831E3" w:rsidRPr="00A81019" w:rsidRDefault="007831E3" w:rsidP="004D03D2">
      <w:pPr>
        <w:pStyle w:val="PargrafodaLista"/>
        <w:ind w:left="2138"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pStyle w:val="PargrafodaLista"/>
        <w:ind w:left="0"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II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-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endereço do estabelecimento;</w:t>
      </w:r>
    </w:p>
    <w:p w:rsidR="007831E3" w:rsidRPr="00A81019" w:rsidRDefault="007831E3" w:rsidP="004D03D2">
      <w:pPr>
        <w:pStyle w:val="PargrafodaLista"/>
        <w:ind w:left="2138"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pStyle w:val="PargrafodaLista"/>
        <w:ind w:left="0"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III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-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atividades autorizadas;</w:t>
      </w:r>
    </w:p>
    <w:p w:rsidR="007831E3" w:rsidRPr="00A81019" w:rsidRDefault="007831E3" w:rsidP="004D03D2">
      <w:pPr>
        <w:pStyle w:val="PargrafodaLista"/>
        <w:ind w:firstLine="1418"/>
        <w:rPr>
          <w:sz w:val="24"/>
          <w:szCs w:val="24"/>
        </w:rPr>
      </w:pPr>
    </w:p>
    <w:p w:rsidR="007831E3" w:rsidRPr="00A81019" w:rsidRDefault="007831E3" w:rsidP="004D03D2">
      <w:pPr>
        <w:pStyle w:val="PargrafodaLista"/>
        <w:ind w:left="0"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IV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-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número de inscrição municipal;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V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-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número do CPF/MF ou CNPJ.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A81019">
        <w:rPr>
          <w:sz w:val="24"/>
          <w:szCs w:val="24"/>
        </w:rPr>
        <w:t>º O requerimento inicial do Alvará será procedido pela apresentação de cópia dos documentos, Pessoa Jurídica e ou Pessoa Física, sendo: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I</w:t>
      </w:r>
      <w:r w:rsidR="004D03D2">
        <w:rPr>
          <w:sz w:val="24"/>
          <w:szCs w:val="24"/>
        </w:rPr>
        <w:t xml:space="preserve"> -</w:t>
      </w:r>
      <w:r w:rsidRPr="00A81019">
        <w:rPr>
          <w:sz w:val="24"/>
          <w:szCs w:val="24"/>
        </w:rPr>
        <w:t xml:space="preserve"> Pessoa Jurídica: cartão do CNPJ, contrato social ou última alteração, documentos dos sócios, CPF, RG, comprovante de propriedade (certidão de matrícula atualizad</w:t>
      </w:r>
      <w:r w:rsidR="006705AA">
        <w:rPr>
          <w:sz w:val="24"/>
          <w:szCs w:val="24"/>
        </w:rPr>
        <w:t>a</w:t>
      </w:r>
      <w:r w:rsidRPr="00A81019">
        <w:rPr>
          <w:sz w:val="24"/>
          <w:szCs w:val="24"/>
        </w:rPr>
        <w:t>) ou contrato de locação, certidão negativa de débito de IPTU do imóvel a ser ocupado pela empresa licenciada;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lastRenderedPageBreak/>
        <w:t>II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- Pessoa Física: CPF, RG, comprovante de propriedade (certidão de matrícula atualizad</w:t>
      </w:r>
      <w:r w:rsidR="006705AA">
        <w:rPr>
          <w:sz w:val="24"/>
          <w:szCs w:val="24"/>
        </w:rPr>
        <w:t>a</w:t>
      </w:r>
      <w:r w:rsidRPr="00A81019">
        <w:rPr>
          <w:sz w:val="24"/>
          <w:szCs w:val="24"/>
        </w:rPr>
        <w:t>) ou contrato de locação, certidão negativa de débito de IPTU do imóvel a ser ocupado pela Pessoa Física, licenciada.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5</w:t>
      </w:r>
      <w:r w:rsidRPr="00A81019"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A aprovação prévia do local, vistoria, medições serão efetuadas e deferidas ou indeferidas, pelos órgãos competentes da Fiscalização, Tributária, Vigilância Sanitária e Obras e Postura quanto for o caso, que atuarão em conjunto.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§ 1º O prazo de análise pela Fiscalização para aprovação, deverá ocorrer impreterivelmente em até 48 (quarenta e oito) horas, do protocolo do requerimento.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§ 2º</w:t>
      </w:r>
      <w:r w:rsidR="004D03D2"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 xml:space="preserve">No caso de haver insuficiência de dados cadastrais ou de informações de qualquer natureza sobre o imóvel, será realizada, no prazo máximo de 03 (três) dias úteis a vistoria do local, com vistas ao exame e a decisão do pedido, o qual obedecerá </w:t>
      </w:r>
      <w:r w:rsidR="006705AA">
        <w:rPr>
          <w:sz w:val="24"/>
          <w:szCs w:val="24"/>
        </w:rPr>
        <w:t>a</w:t>
      </w:r>
      <w:r w:rsidRPr="00A81019">
        <w:rPr>
          <w:sz w:val="24"/>
          <w:szCs w:val="24"/>
        </w:rPr>
        <w:t>o prazo previsto no parágrafo anterior.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pStyle w:val="Recuodecorpodetexto2"/>
        <w:tabs>
          <w:tab w:val="left" w:pos="900"/>
        </w:tabs>
        <w:spacing w:after="0" w:line="240" w:lineRule="auto"/>
        <w:ind w:left="0"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6</w:t>
      </w:r>
      <w:r w:rsidRPr="00A81019">
        <w:rPr>
          <w:sz w:val="24"/>
          <w:szCs w:val="24"/>
          <w:vertAlign w:val="superscript"/>
        </w:rPr>
        <w:t>o</w:t>
      </w:r>
      <w:r w:rsidRPr="00A81019">
        <w:rPr>
          <w:sz w:val="24"/>
          <w:szCs w:val="24"/>
        </w:rPr>
        <w:t xml:space="preserve"> A base de cálculo das Taxas será determinada, para cada atividade, através de rateio, divisível e proporcional aplicado os valores por metro quadrado do estabelecimento em conformidade com o </w:t>
      </w:r>
      <w:r>
        <w:rPr>
          <w:sz w:val="24"/>
          <w:szCs w:val="24"/>
        </w:rPr>
        <w:t>anexo I</w:t>
      </w:r>
      <w:r w:rsidRPr="00A81019">
        <w:rPr>
          <w:sz w:val="24"/>
          <w:szCs w:val="24"/>
        </w:rPr>
        <w:t>V, do Código Tributário Municipal e será devida pelo período proporcional ao requerimento inicial.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7</w:t>
      </w:r>
      <w:r w:rsidRPr="00A81019">
        <w:rPr>
          <w:sz w:val="24"/>
          <w:szCs w:val="24"/>
        </w:rPr>
        <w:t>º O lançamento da Taxa de Fiscalização de Localização, de Instalação e de Funcionamento de Estabelecimento reportar-se-á à data da ocorrência do fato gerador da obrigação, no dia 1° de janeiro de 201</w:t>
      </w:r>
      <w:r>
        <w:rPr>
          <w:sz w:val="24"/>
          <w:szCs w:val="24"/>
        </w:rPr>
        <w:t>4</w:t>
      </w:r>
      <w:r w:rsidRPr="00A81019">
        <w:rPr>
          <w:sz w:val="24"/>
          <w:szCs w:val="24"/>
        </w:rPr>
        <w:t>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277E2C" w:rsidRDefault="007831E3" w:rsidP="004D03D2">
      <w:pPr>
        <w:ind w:firstLine="1418"/>
        <w:jc w:val="both"/>
        <w:rPr>
          <w:sz w:val="24"/>
          <w:szCs w:val="24"/>
        </w:rPr>
      </w:pPr>
      <w:r w:rsidRPr="00277E2C">
        <w:rPr>
          <w:sz w:val="24"/>
          <w:szCs w:val="24"/>
        </w:rPr>
        <w:t>Parágrafo único. Fica atualizado monetariamente pela variação IPCA/IBGE, do período 2</w:t>
      </w:r>
      <w:r w:rsidR="004D03D2">
        <w:rPr>
          <w:sz w:val="24"/>
          <w:szCs w:val="24"/>
        </w:rPr>
        <w:t>012/2013 o valor de o valor de 5,</w:t>
      </w:r>
      <w:r w:rsidRPr="00277E2C">
        <w:rPr>
          <w:sz w:val="24"/>
          <w:szCs w:val="24"/>
        </w:rPr>
        <w:t>6096% (cinco inteiros e seis mil e noventa e seis décimos de milésimos), os preços das taxas e serviços regulamentados pelo Poder de Pol</w:t>
      </w:r>
      <w:r w:rsidR="004D03D2">
        <w:rPr>
          <w:sz w:val="24"/>
          <w:szCs w:val="24"/>
        </w:rPr>
        <w:t>í</w:t>
      </w:r>
      <w:r w:rsidRPr="00277E2C">
        <w:rPr>
          <w:sz w:val="24"/>
          <w:szCs w:val="24"/>
        </w:rPr>
        <w:t>cia do Município das atividades para lançamento de 2014.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8</w:t>
      </w:r>
      <w:r w:rsidRPr="00A81019"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A Taxa será lançada em quota única com vencimento em 20/02/2013, com desconto de 10% (dez por cento) para pagamento até o vencimento.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9</w:t>
      </w:r>
      <w:r w:rsidRPr="00A81019"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Pr="00A81019">
        <w:rPr>
          <w:sz w:val="24"/>
          <w:szCs w:val="24"/>
        </w:rPr>
        <w:t>As parcelas não pagas nos respectivos vencimentos sofrerão acréscimos de juros de mora de 1% (um por cento) ao mês e multa equivalente a 2% (dois por cento).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Art. </w:t>
      </w:r>
      <w:r>
        <w:rPr>
          <w:sz w:val="24"/>
          <w:szCs w:val="24"/>
        </w:rPr>
        <w:t>10</w:t>
      </w:r>
      <w:r w:rsidR="004D03D2">
        <w:rPr>
          <w:sz w:val="24"/>
          <w:szCs w:val="24"/>
        </w:rPr>
        <w:t>.</w:t>
      </w:r>
      <w:r w:rsidRPr="00A81019">
        <w:rPr>
          <w:sz w:val="24"/>
          <w:szCs w:val="24"/>
        </w:rPr>
        <w:t xml:space="preserve"> </w:t>
      </w:r>
      <w:r>
        <w:rPr>
          <w:sz w:val="24"/>
          <w:szCs w:val="24"/>
        </w:rPr>
        <w:t>Os pagamentos poderão ser efetuados nos bancos credenciados e casas lotéricas, através do</w:t>
      </w:r>
      <w:r w:rsidRPr="00A81019">
        <w:rPr>
          <w:sz w:val="24"/>
          <w:szCs w:val="24"/>
        </w:rPr>
        <w:t xml:space="preserve"> documento próprio de arrecadação do Município, denominado “Carnês”, onde constarão as informações sobre o licenciado e valor das taxas.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Art. 1</w:t>
      </w:r>
      <w:r>
        <w:rPr>
          <w:sz w:val="24"/>
          <w:szCs w:val="24"/>
        </w:rPr>
        <w:t>1</w:t>
      </w:r>
      <w:r w:rsidR="004D03D2">
        <w:rPr>
          <w:sz w:val="24"/>
          <w:szCs w:val="24"/>
        </w:rPr>
        <w:t>.</w:t>
      </w:r>
      <w:r w:rsidRPr="00A81019">
        <w:rPr>
          <w:sz w:val="24"/>
          <w:szCs w:val="24"/>
        </w:rPr>
        <w:t xml:space="preserve"> O original do Alvará concedido deve ser mantido em bom estado e em local visível e de fácil acesso à fiscalização.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Art. 1</w:t>
      </w:r>
      <w:r>
        <w:rPr>
          <w:sz w:val="24"/>
          <w:szCs w:val="24"/>
        </w:rPr>
        <w:t>2</w:t>
      </w:r>
      <w:r w:rsidR="004D03D2">
        <w:rPr>
          <w:sz w:val="24"/>
          <w:szCs w:val="24"/>
        </w:rPr>
        <w:t>.</w:t>
      </w:r>
      <w:r w:rsidRPr="00A81019">
        <w:rPr>
          <w:sz w:val="24"/>
          <w:szCs w:val="24"/>
        </w:rPr>
        <w:t xml:space="preserve"> O Alvará será obrigatoriamente substituído quando houver qualquer alteração de suas características.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Parágrafo único. A modificação do Alvará deverá ser requerida no prazo máximo de 30 (trinta) dias, contado a partir da data em que ocorrer a alteração.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lastRenderedPageBreak/>
        <w:t>Art. 1</w:t>
      </w:r>
      <w:r>
        <w:rPr>
          <w:sz w:val="24"/>
          <w:szCs w:val="24"/>
        </w:rPr>
        <w:t>3</w:t>
      </w:r>
      <w:r w:rsidR="004D03D2">
        <w:rPr>
          <w:sz w:val="24"/>
          <w:szCs w:val="24"/>
        </w:rPr>
        <w:t>.</w:t>
      </w:r>
      <w:r w:rsidRPr="00A81019">
        <w:rPr>
          <w:sz w:val="24"/>
          <w:szCs w:val="24"/>
        </w:rPr>
        <w:t xml:space="preserve"> O encerramento da atividade deverá ser comunicado ao </w:t>
      </w:r>
      <w:r>
        <w:rPr>
          <w:sz w:val="24"/>
          <w:szCs w:val="24"/>
        </w:rPr>
        <w:t>Setor Tributário</w:t>
      </w:r>
      <w:r w:rsidRPr="00A81019">
        <w:rPr>
          <w:sz w:val="24"/>
          <w:szCs w:val="24"/>
        </w:rPr>
        <w:t>, mediante requerimento, no prazo máximo de 30 (trinta) dias, contados a partir da ocorrência do fato.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Art. 1</w:t>
      </w:r>
      <w:r>
        <w:rPr>
          <w:sz w:val="24"/>
          <w:szCs w:val="24"/>
        </w:rPr>
        <w:t>4</w:t>
      </w:r>
      <w:r w:rsidR="004D03D2">
        <w:rPr>
          <w:sz w:val="24"/>
          <w:szCs w:val="24"/>
        </w:rPr>
        <w:t>.</w:t>
      </w:r>
      <w:r w:rsidRPr="00A81019">
        <w:rPr>
          <w:sz w:val="24"/>
          <w:szCs w:val="24"/>
        </w:rPr>
        <w:t xml:space="preserve"> O não cumprimento das obrigações previstas neste Decreto</w:t>
      </w:r>
      <w:r w:rsidR="0065529E">
        <w:rPr>
          <w:sz w:val="24"/>
          <w:szCs w:val="24"/>
        </w:rPr>
        <w:t>,</w:t>
      </w:r>
      <w:r w:rsidRPr="00A81019">
        <w:rPr>
          <w:sz w:val="24"/>
          <w:szCs w:val="24"/>
        </w:rPr>
        <w:t xml:space="preserve"> sujeita o contribuinte à aplicação das penalidades previstas no CTM, inclusive interdição do estabelecimento, sem prejuízo do pagamento dos tributos e multas devidos.</w:t>
      </w:r>
    </w:p>
    <w:p w:rsidR="007831E3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3937E2" w:rsidRDefault="007831E3" w:rsidP="004D03D2">
      <w:pPr>
        <w:ind w:firstLine="1418"/>
        <w:jc w:val="both"/>
        <w:rPr>
          <w:sz w:val="24"/>
          <w:szCs w:val="24"/>
        </w:rPr>
      </w:pPr>
      <w:r w:rsidRPr="003937E2">
        <w:rPr>
          <w:sz w:val="24"/>
          <w:szCs w:val="24"/>
        </w:rPr>
        <w:t>Art. 15</w:t>
      </w:r>
      <w:r w:rsidR="004D03D2">
        <w:rPr>
          <w:sz w:val="24"/>
          <w:szCs w:val="24"/>
        </w:rPr>
        <w:t>.</w:t>
      </w:r>
      <w:r w:rsidRPr="003937E2">
        <w:rPr>
          <w:sz w:val="24"/>
          <w:szCs w:val="24"/>
        </w:rPr>
        <w:t xml:space="preserve"> Compete ao  </w:t>
      </w:r>
      <w:r w:rsidRPr="003937E2">
        <w:rPr>
          <w:rFonts w:eastAsia="Times New Roman"/>
          <w:iCs/>
          <w:sz w:val="24"/>
          <w:szCs w:val="24"/>
        </w:rPr>
        <w:t xml:space="preserve">Superintendente de Receita, Controle, Arrecadação e Fiscalização, </w:t>
      </w:r>
      <w:r w:rsidRPr="003937E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7E2">
        <w:rPr>
          <w:sz w:val="24"/>
          <w:szCs w:val="24"/>
        </w:rPr>
        <w:t>em conjunto com a Assessoria Jurídica determinar a cassação, interdição ou anulação do alvará dos estabelecimentos</w:t>
      </w:r>
      <w:r w:rsidR="004D03D2">
        <w:rPr>
          <w:sz w:val="24"/>
          <w:szCs w:val="24"/>
        </w:rPr>
        <w:t>,</w:t>
      </w:r>
      <w:r w:rsidRPr="003937E2">
        <w:rPr>
          <w:sz w:val="24"/>
          <w:szCs w:val="24"/>
        </w:rPr>
        <w:t xml:space="preserve"> nos casos previstos neste Decreto.</w:t>
      </w: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Parágrafo único. O Alvará poderá ser cassado ou alterado </w:t>
      </w:r>
      <w:r w:rsidRPr="00A81019">
        <w:rPr>
          <w:i/>
          <w:iCs/>
          <w:sz w:val="24"/>
          <w:szCs w:val="24"/>
        </w:rPr>
        <w:t>ex-ofício</w:t>
      </w:r>
      <w:r w:rsidRPr="00A81019">
        <w:rPr>
          <w:sz w:val="24"/>
          <w:szCs w:val="24"/>
        </w:rPr>
        <w:t>, mediante decisão fundamentada, quando assim exigir o interesse público, observando os dispostos do CTM.</w:t>
      </w:r>
    </w:p>
    <w:p w:rsidR="007831E3" w:rsidRPr="00A81019" w:rsidRDefault="007831E3" w:rsidP="004D03D2">
      <w:pPr>
        <w:ind w:firstLine="1418"/>
        <w:jc w:val="center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Art. 1</w:t>
      </w:r>
      <w:r>
        <w:rPr>
          <w:sz w:val="24"/>
          <w:szCs w:val="24"/>
        </w:rPr>
        <w:t>6</w:t>
      </w:r>
      <w:r w:rsidR="004D03D2">
        <w:rPr>
          <w:sz w:val="24"/>
          <w:szCs w:val="24"/>
        </w:rPr>
        <w:t>.</w:t>
      </w:r>
      <w:r w:rsidRPr="00A81019">
        <w:rPr>
          <w:sz w:val="24"/>
          <w:szCs w:val="24"/>
        </w:rPr>
        <w:t xml:space="preserve"> Toda e qualquer impugnação contra o lançamento das taxas, poderão ser efetuadas através de requerimento dirigido ao </w:t>
      </w:r>
      <w:r>
        <w:rPr>
          <w:sz w:val="24"/>
          <w:szCs w:val="24"/>
        </w:rPr>
        <w:t>encarregado do Setor</w:t>
      </w:r>
      <w:r w:rsidRPr="00A81019">
        <w:rPr>
          <w:sz w:val="24"/>
          <w:szCs w:val="24"/>
        </w:rPr>
        <w:t xml:space="preserve"> Tributário, devidamente registrado no protocolo, no prazo de 30 (trinta) dias contados da data da publicação deste Decreto.</w:t>
      </w:r>
    </w:p>
    <w:p w:rsidR="007831E3" w:rsidRDefault="007831E3" w:rsidP="004D03D2">
      <w:pPr>
        <w:ind w:firstLine="1418"/>
        <w:jc w:val="both"/>
        <w:rPr>
          <w:sz w:val="24"/>
          <w:szCs w:val="24"/>
        </w:rPr>
      </w:pPr>
    </w:p>
    <w:p w:rsidR="004D03D2" w:rsidRDefault="007831E3" w:rsidP="004D03D2">
      <w:pPr>
        <w:ind w:firstLine="1418"/>
        <w:jc w:val="both"/>
        <w:rPr>
          <w:sz w:val="24"/>
          <w:szCs w:val="24"/>
        </w:rPr>
      </w:pPr>
      <w:r w:rsidRPr="00EF537E">
        <w:rPr>
          <w:sz w:val="24"/>
          <w:szCs w:val="24"/>
        </w:rPr>
        <w:t>Art. 1</w:t>
      </w:r>
      <w:r>
        <w:rPr>
          <w:sz w:val="24"/>
          <w:szCs w:val="24"/>
        </w:rPr>
        <w:t>7</w:t>
      </w:r>
      <w:r w:rsidR="004D03D2">
        <w:rPr>
          <w:sz w:val="24"/>
          <w:szCs w:val="24"/>
        </w:rPr>
        <w:t>.</w:t>
      </w:r>
      <w:r>
        <w:rPr>
          <w:sz w:val="24"/>
          <w:szCs w:val="24"/>
        </w:rPr>
        <w:t xml:space="preserve">  A partir de 01 de janeiro de 2014,</w:t>
      </w:r>
      <w:r w:rsidR="00A073FF" w:rsidRPr="00A073FF">
        <w:rPr>
          <w:sz w:val="24"/>
          <w:szCs w:val="24"/>
        </w:rPr>
        <w:t xml:space="preserve"> </w:t>
      </w:r>
      <w:r w:rsidR="00A073FF">
        <w:rPr>
          <w:sz w:val="24"/>
          <w:szCs w:val="24"/>
        </w:rPr>
        <w:t>sob pena cassação e interdição do local,</w:t>
      </w:r>
      <w:r w:rsidR="00A073FF" w:rsidRPr="00A073FF">
        <w:rPr>
          <w:sz w:val="24"/>
          <w:szCs w:val="24"/>
        </w:rPr>
        <w:t xml:space="preserve"> </w:t>
      </w:r>
      <w:r w:rsidR="00A073FF">
        <w:rPr>
          <w:sz w:val="24"/>
          <w:szCs w:val="24"/>
        </w:rPr>
        <w:t xml:space="preserve">conforme determina o art.15 deste Decreto, </w:t>
      </w:r>
      <w:r>
        <w:rPr>
          <w:sz w:val="24"/>
          <w:szCs w:val="24"/>
        </w:rPr>
        <w:t>todos os proprietários</w:t>
      </w:r>
      <w:r w:rsidR="0065529E">
        <w:rPr>
          <w:sz w:val="24"/>
          <w:szCs w:val="24"/>
        </w:rPr>
        <w:t>,</w:t>
      </w:r>
      <w:r w:rsidR="004D03D2">
        <w:rPr>
          <w:sz w:val="24"/>
          <w:szCs w:val="24"/>
        </w:rPr>
        <w:t xml:space="preserve"> promotores de eventos de qualquer natureza </w:t>
      </w:r>
      <w:r w:rsidR="0065529E">
        <w:rPr>
          <w:sz w:val="24"/>
          <w:szCs w:val="24"/>
        </w:rPr>
        <w:t>e/</w:t>
      </w:r>
      <w:r w:rsidR="004D03D2">
        <w:rPr>
          <w:sz w:val="24"/>
          <w:szCs w:val="24"/>
        </w:rPr>
        <w:t>ou outras atividades considerada de alto risco conforme estabelece a Tabela 3 da Lei Estadual n</w:t>
      </w:r>
      <w:r w:rsidR="004D03D2">
        <w:rPr>
          <w:sz w:val="24"/>
          <w:szCs w:val="24"/>
          <w:vertAlign w:val="superscript"/>
        </w:rPr>
        <w:t>o</w:t>
      </w:r>
      <w:r w:rsidR="004D03D2">
        <w:rPr>
          <w:sz w:val="24"/>
          <w:szCs w:val="24"/>
        </w:rPr>
        <w:t xml:space="preserve"> 4.335/2013, que envolva aglomeração de pessoas, deverão apresentar o Alvará de Licença do Corpo de Bombeiro, junto ao requerimento de licenciamento do Alvará de Lo</w:t>
      </w:r>
      <w:r w:rsidR="008B074C">
        <w:rPr>
          <w:sz w:val="24"/>
          <w:szCs w:val="24"/>
        </w:rPr>
        <w:t>calização e Funcionamento 2014</w:t>
      </w:r>
      <w:r w:rsidR="0065529E">
        <w:rPr>
          <w:sz w:val="24"/>
          <w:szCs w:val="24"/>
        </w:rPr>
        <w:t>, sendo</w:t>
      </w:r>
      <w:r w:rsidR="00A073FF">
        <w:rPr>
          <w:sz w:val="24"/>
          <w:szCs w:val="24"/>
        </w:rPr>
        <w:t>: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7831E3">
        <w:rPr>
          <w:sz w:val="24"/>
          <w:szCs w:val="24"/>
        </w:rPr>
        <w:t>casas noturnas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7831E3">
        <w:rPr>
          <w:sz w:val="24"/>
          <w:szCs w:val="24"/>
        </w:rPr>
        <w:t>salões de festas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bailes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8B074C">
        <w:rPr>
          <w:sz w:val="24"/>
          <w:szCs w:val="24"/>
        </w:rPr>
        <w:t>-</w:t>
      </w:r>
      <w:r w:rsidR="007831E3">
        <w:rPr>
          <w:sz w:val="24"/>
          <w:szCs w:val="24"/>
        </w:rPr>
        <w:t xml:space="preserve"> boates</w:t>
      </w:r>
      <w:r>
        <w:rPr>
          <w:sz w:val="24"/>
          <w:szCs w:val="24"/>
        </w:rPr>
        <w:t>;</w:t>
      </w:r>
    </w:p>
    <w:p w:rsidR="0065529E" w:rsidRDefault="0065529E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estádios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ginásios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auditórios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 - </w:t>
      </w:r>
      <w:r w:rsidR="007831E3">
        <w:rPr>
          <w:sz w:val="24"/>
          <w:szCs w:val="24"/>
        </w:rPr>
        <w:t>instituições financeiras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mercados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padarias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lanchonetes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restaurantes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XIII </w:t>
      </w:r>
      <w:r w:rsidR="008B07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31E3">
        <w:rPr>
          <w:sz w:val="24"/>
          <w:szCs w:val="24"/>
        </w:rPr>
        <w:t>açougues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XIV - </w:t>
      </w:r>
      <w:r w:rsidR="007831E3">
        <w:rPr>
          <w:sz w:val="24"/>
          <w:szCs w:val="24"/>
        </w:rPr>
        <w:t>depósitos de qualquer natureza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 - </w:t>
      </w:r>
      <w:r w:rsidR="007831E3">
        <w:rPr>
          <w:sz w:val="24"/>
          <w:szCs w:val="24"/>
        </w:rPr>
        <w:t>materiais de construção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A073FF" w:rsidRDefault="00A073FF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XVI - </w:t>
      </w:r>
      <w:r w:rsidR="007831E3">
        <w:rPr>
          <w:sz w:val="24"/>
          <w:szCs w:val="24"/>
        </w:rPr>
        <w:t>instituição de ensino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8B074C" w:rsidRDefault="008B074C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XVII - </w:t>
      </w:r>
      <w:r w:rsidR="007831E3">
        <w:rPr>
          <w:sz w:val="24"/>
          <w:szCs w:val="24"/>
        </w:rPr>
        <w:t>hospitais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8B074C" w:rsidRDefault="008B074C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XVIII - </w:t>
      </w:r>
      <w:r w:rsidR="007831E3">
        <w:rPr>
          <w:sz w:val="24"/>
          <w:szCs w:val="24"/>
        </w:rPr>
        <w:t>laboratórios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8B074C" w:rsidRDefault="008B074C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XIX - </w:t>
      </w:r>
      <w:r w:rsidR="007831E3">
        <w:rPr>
          <w:sz w:val="24"/>
          <w:szCs w:val="24"/>
        </w:rPr>
        <w:t>consultórios em geral</w:t>
      </w:r>
      <w:r>
        <w:rPr>
          <w:sz w:val="24"/>
          <w:szCs w:val="24"/>
        </w:rPr>
        <w:t>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8B074C" w:rsidRDefault="008B074C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XX - casas de espetáculos;</w:t>
      </w:r>
    </w:p>
    <w:p w:rsidR="008B074C" w:rsidRDefault="008B074C" w:rsidP="004D03D2">
      <w:pPr>
        <w:ind w:firstLine="1418"/>
        <w:jc w:val="both"/>
        <w:rPr>
          <w:sz w:val="24"/>
          <w:szCs w:val="24"/>
        </w:rPr>
      </w:pPr>
    </w:p>
    <w:p w:rsidR="007831E3" w:rsidRDefault="008B074C" w:rsidP="004D03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XXI - p</w:t>
      </w:r>
      <w:r w:rsidR="007831E3">
        <w:rPr>
          <w:sz w:val="24"/>
          <w:szCs w:val="24"/>
        </w:rPr>
        <w:t>arques de diversões e congêneres.</w:t>
      </w:r>
    </w:p>
    <w:p w:rsidR="004D03D2" w:rsidRDefault="004D03D2" w:rsidP="004D03D2">
      <w:pPr>
        <w:ind w:firstLine="1418"/>
        <w:jc w:val="both"/>
        <w:rPr>
          <w:sz w:val="24"/>
          <w:szCs w:val="24"/>
        </w:rPr>
      </w:pPr>
    </w:p>
    <w:p w:rsidR="007831E3" w:rsidRPr="00A81019" w:rsidRDefault="007831E3" w:rsidP="004D03D2">
      <w:pPr>
        <w:ind w:firstLine="1418"/>
        <w:jc w:val="both"/>
        <w:rPr>
          <w:sz w:val="24"/>
          <w:szCs w:val="24"/>
        </w:rPr>
      </w:pPr>
      <w:r w:rsidRPr="00A81019">
        <w:rPr>
          <w:sz w:val="24"/>
          <w:szCs w:val="24"/>
        </w:rPr>
        <w:t>Art. 1</w:t>
      </w:r>
      <w:r>
        <w:rPr>
          <w:sz w:val="24"/>
          <w:szCs w:val="24"/>
        </w:rPr>
        <w:t>8</w:t>
      </w:r>
      <w:r w:rsidR="004D03D2">
        <w:rPr>
          <w:sz w:val="24"/>
          <w:szCs w:val="24"/>
        </w:rPr>
        <w:t>.</w:t>
      </w:r>
      <w:r w:rsidRPr="00A81019">
        <w:rPr>
          <w:sz w:val="24"/>
          <w:szCs w:val="24"/>
        </w:rPr>
        <w:t xml:space="preserve"> Este </w:t>
      </w:r>
      <w:r w:rsidR="008B074C">
        <w:rPr>
          <w:sz w:val="24"/>
          <w:szCs w:val="24"/>
        </w:rPr>
        <w:t>D</w:t>
      </w:r>
      <w:r w:rsidRPr="00A81019">
        <w:rPr>
          <w:sz w:val="24"/>
          <w:szCs w:val="24"/>
        </w:rPr>
        <w:t>ecreto entra em vigor a partir de 01 de janeiro de 201</w:t>
      </w:r>
      <w:r>
        <w:rPr>
          <w:sz w:val="24"/>
          <w:szCs w:val="24"/>
        </w:rPr>
        <w:t>4</w:t>
      </w:r>
      <w:r w:rsidRPr="00A81019">
        <w:rPr>
          <w:sz w:val="24"/>
          <w:szCs w:val="24"/>
        </w:rPr>
        <w:t xml:space="preserve">, </w:t>
      </w:r>
      <w:r w:rsidR="008B074C">
        <w:rPr>
          <w:sz w:val="24"/>
          <w:szCs w:val="24"/>
        </w:rPr>
        <w:t>ficando revogado o D</w:t>
      </w:r>
      <w:r w:rsidR="008B074C" w:rsidRPr="008B074C">
        <w:rPr>
          <w:sz w:val="24"/>
          <w:szCs w:val="24"/>
        </w:rPr>
        <w:t>ecreto nº 014, de 07 de janeiro de 2013</w:t>
      </w:r>
      <w:r w:rsidRPr="00A81019">
        <w:rPr>
          <w:sz w:val="24"/>
          <w:szCs w:val="24"/>
        </w:rPr>
        <w:t>.</w:t>
      </w:r>
    </w:p>
    <w:p w:rsidR="007831E3" w:rsidRDefault="007831E3" w:rsidP="007831E3">
      <w:pPr>
        <w:jc w:val="both"/>
        <w:rPr>
          <w:sz w:val="24"/>
          <w:szCs w:val="24"/>
        </w:rPr>
      </w:pPr>
      <w:r w:rsidRPr="00A81019">
        <w:rPr>
          <w:sz w:val="24"/>
          <w:szCs w:val="24"/>
        </w:rPr>
        <w:t xml:space="preserve"> </w:t>
      </w:r>
    </w:p>
    <w:p w:rsidR="008B074C" w:rsidRPr="00A81019" w:rsidRDefault="008B074C" w:rsidP="007831E3">
      <w:pPr>
        <w:jc w:val="both"/>
        <w:rPr>
          <w:sz w:val="24"/>
          <w:szCs w:val="24"/>
        </w:rPr>
      </w:pPr>
    </w:p>
    <w:p w:rsidR="007831E3" w:rsidRPr="00A81019" w:rsidRDefault="007831E3" w:rsidP="007831E3">
      <w:pPr>
        <w:pStyle w:val="Corpodetexto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Anastácio-MS, 17 de dezembro de 2013</w:t>
      </w:r>
    </w:p>
    <w:p w:rsidR="007831E3" w:rsidRDefault="007831E3" w:rsidP="007831E3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65529E" w:rsidRDefault="0065529E" w:rsidP="007831E3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8B074C" w:rsidRPr="00A81019" w:rsidRDefault="008B074C" w:rsidP="007831E3">
      <w:pPr>
        <w:tabs>
          <w:tab w:val="right" w:pos="-426"/>
        </w:tabs>
        <w:jc w:val="center"/>
        <w:rPr>
          <w:color w:val="000000"/>
          <w:sz w:val="24"/>
          <w:szCs w:val="24"/>
        </w:rPr>
      </w:pPr>
    </w:p>
    <w:p w:rsidR="007831E3" w:rsidRPr="00A81019" w:rsidRDefault="007831E3" w:rsidP="007831E3">
      <w:pPr>
        <w:jc w:val="center"/>
        <w:rPr>
          <w:b/>
          <w:bCs/>
          <w:sz w:val="24"/>
          <w:szCs w:val="24"/>
        </w:rPr>
      </w:pPr>
      <w:r w:rsidRPr="00A81019">
        <w:rPr>
          <w:b/>
          <w:bCs/>
          <w:sz w:val="24"/>
          <w:szCs w:val="24"/>
        </w:rPr>
        <w:t>DOUGLAS MELO FIGUEIREDO</w:t>
      </w:r>
    </w:p>
    <w:p w:rsidR="007831E3" w:rsidRPr="008B074C" w:rsidRDefault="007831E3" w:rsidP="007831E3">
      <w:pPr>
        <w:jc w:val="center"/>
        <w:rPr>
          <w:sz w:val="24"/>
          <w:szCs w:val="24"/>
        </w:rPr>
      </w:pPr>
      <w:r w:rsidRPr="008B074C">
        <w:rPr>
          <w:bCs/>
          <w:sz w:val="24"/>
          <w:szCs w:val="24"/>
        </w:rPr>
        <w:t>P</w:t>
      </w:r>
      <w:r w:rsidRPr="008B074C">
        <w:rPr>
          <w:sz w:val="24"/>
          <w:szCs w:val="24"/>
        </w:rPr>
        <w:t>refeito Municipal</w:t>
      </w:r>
    </w:p>
    <w:p w:rsidR="007831E3" w:rsidRPr="008B074C" w:rsidRDefault="007831E3" w:rsidP="007831E3">
      <w:pPr>
        <w:rPr>
          <w:sz w:val="24"/>
          <w:szCs w:val="24"/>
        </w:rPr>
      </w:pPr>
    </w:p>
    <w:p w:rsidR="007831E3" w:rsidRPr="008B074C" w:rsidRDefault="007831E3" w:rsidP="007831E3">
      <w:pPr>
        <w:rPr>
          <w:sz w:val="24"/>
          <w:szCs w:val="24"/>
        </w:rPr>
      </w:pPr>
    </w:p>
    <w:p w:rsidR="00A20E5B" w:rsidRPr="007831E3" w:rsidRDefault="007337CF" w:rsidP="007831E3"/>
    <w:sectPr w:rsidR="00A20E5B" w:rsidRPr="007831E3" w:rsidSect="00B71A9E">
      <w:headerReference w:type="default" r:id="rId8"/>
      <w:footerReference w:type="default" r:id="rId9"/>
      <w:pgSz w:w="11907" w:h="16840" w:code="9"/>
      <w:pgMar w:top="539" w:right="567" w:bottom="851" w:left="1134" w:header="0" w:footer="7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CF" w:rsidRDefault="007337CF" w:rsidP="00967682">
      <w:r>
        <w:separator/>
      </w:r>
    </w:p>
  </w:endnote>
  <w:endnote w:type="continuationSeparator" w:id="0">
    <w:p w:rsidR="007337CF" w:rsidRDefault="007337CF" w:rsidP="0096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MS Minch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6B" w:rsidRDefault="007831E3">
    <w:pPr>
      <w:pStyle w:val="Rodap"/>
      <w:jc w:val="right"/>
    </w:pPr>
    <w:r w:rsidRPr="00DD7E11">
      <w:rPr>
        <w:noProof/>
      </w:rPr>
      <w:drawing>
        <wp:inline distT="0" distB="0" distL="0" distR="0">
          <wp:extent cx="962025" cy="866775"/>
          <wp:effectExtent l="19050" t="0" r="9525" b="0"/>
          <wp:docPr id="6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5D7C" w:rsidRPr="00B25D7C">
      <w:t xml:space="preserve"> </w:t>
    </w:r>
    <w:sdt>
      <w:sdtPr>
        <w:id w:val="882477"/>
        <w:docPartObj>
          <w:docPartGallery w:val="Page Numbers (Bottom of Page)"/>
          <w:docPartUnique/>
        </w:docPartObj>
      </w:sdtPr>
      <w:sdtContent>
        <w:fldSimple w:instr=" PAGE   \* MERGEFORMAT ">
          <w:r w:rsidR="00B25D7C">
            <w:rPr>
              <w:noProof/>
            </w:rPr>
            <w:t>2</w:t>
          </w:r>
        </w:fldSimple>
      </w:sdtContent>
    </w:sdt>
  </w:p>
  <w:p w:rsidR="0055316B" w:rsidRDefault="007337CF" w:rsidP="00C6419C">
    <w:pPr>
      <w:pStyle w:val="Rodap"/>
      <w:tabs>
        <w:tab w:val="clear" w:pos="8838"/>
        <w:tab w:val="right" w:pos="-2694"/>
        <w:tab w:val="left" w:pos="2620"/>
      </w:tabs>
      <w:ind w:left="-1418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CF" w:rsidRDefault="007337CF" w:rsidP="00967682">
      <w:r>
        <w:separator/>
      </w:r>
    </w:p>
  </w:footnote>
  <w:footnote w:type="continuationSeparator" w:id="0">
    <w:p w:rsidR="007337CF" w:rsidRDefault="007337CF" w:rsidP="0096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6B" w:rsidRDefault="00967682" w:rsidP="00C6419C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967682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3.1pt;margin-top:8.9pt;width:66.85pt;height:66.3pt;z-index:251658240;mso-wrap-distance-left:7.1pt;mso-wrap-distance-right:7.1pt;mso-position-horizontal-relative:page" fillcolor="window">
          <v:imagedata r:id="rId1" o:title=""/>
          <w10:wrap type="square" anchorx="page"/>
        </v:shape>
      </w:pict>
    </w:r>
  </w:p>
  <w:p w:rsidR="0055316B" w:rsidRDefault="007831E3" w:rsidP="00C6419C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55316B" w:rsidRDefault="007831E3" w:rsidP="00C6419C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55316B" w:rsidRDefault="007831E3" w:rsidP="00C6419C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55316B" w:rsidRDefault="007831E3" w:rsidP="00C6419C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55316B" w:rsidRDefault="007337CF" w:rsidP="00C6419C">
    <w:pPr>
      <w:pStyle w:val="Cabealho"/>
    </w:pPr>
  </w:p>
  <w:p w:rsidR="0055316B" w:rsidRDefault="007337CF" w:rsidP="00C6419C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31E3"/>
    <w:rsid w:val="00190F4A"/>
    <w:rsid w:val="001A1B2B"/>
    <w:rsid w:val="001E3372"/>
    <w:rsid w:val="00291F42"/>
    <w:rsid w:val="004D03D2"/>
    <w:rsid w:val="0065529E"/>
    <w:rsid w:val="006705AA"/>
    <w:rsid w:val="00702884"/>
    <w:rsid w:val="007337CF"/>
    <w:rsid w:val="007831E3"/>
    <w:rsid w:val="008B074C"/>
    <w:rsid w:val="00967682"/>
    <w:rsid w:val="00A073FF"/>
    <w:rsid w:val="00B25D7C"/>
    <w:rsid w:val="00C2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1E3"/>
    <w:pPr>
      <w:keepNext/>
      <w:jc w:val="both"/>
      <w:outlineLvl w:val="0"/>
    </w:pPr>
    <w:rPr>
      <w:rFonts w:eastAsia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0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31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1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1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31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1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831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831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83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1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831E3"/>
    <w:pPr>
      <w:jc w:val="center"/>
    </w:pPr>
    <w:rPr>
      <w:rFonts w:eastAsia="Times New Roman"/>
      <w:b/>
    </w:rPr>
  </w:style>
  <w:style w:type="character" w:customStyle="1" w:styleId="Corpodetexto3Char">
    <w:name w:val="Corpo de texto 3 Char"/>
    <w:basedOn w:val="Fontepargpadro"/>
    <w:link w:val="Corpodetexto3"/>
    <w:rsid w:val="007831E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831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831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831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7831E3"/>
    <w:rPr>
      <w:rFonts w:ascii="Garamond" w:hAnsi="Garamond" w:cs="Garamon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1E3"/>
    <w:rPr>
      <w:rFonts w:ascii="Tahoma" w:eastAsia="Batang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31E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31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831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31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7831E3"/>
    <w:rPr>
      <w:b/>
      <w:bCs/>
    </w:rPr>
  </w:style>
  <w:style w:type="paragraph" w:styleId="PargrafodaLista">
    <w:name w:val="List Paragraph"/>
    <w:basedOn w:val="Normal"/>
    <w:uiPriority w:val="34"/>
    <w:qFormat/>
    <w:rsid w:val="007831E3"/>
    <w:pPr>
      <w:ind w:left="720"/>
      <w:contextualSpacing/>
    </w:pPr>
  </w:style>
  <w:style w:type="character" w:styleId="Hyperlink">
    <w:name w:val="Hyperlink"/>
    <w:basedOn w:val="Fontepargpadro"/>
    <w:rsid w:val="007831E3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03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D03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D03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D0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D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idauana.ms.gov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MEU-PC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2013-12-19T13:55:00Z</dcterms:created>
  <dcterms:modified xsi:type="dcterms:W3CDTF">2013-12-23T13:29:00Z</dcterms:modified>
</cp:coreProperties>
</file>